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xml:space="preserve">: </w:t>
      </w:r>
      <w:proofErr w:type="spellStart"/>
      <w:r>
        <w:rPr>
          <w:rFonts w:ascii="Work Sans" w:hAnsi="Work Sans" w:cs="Arial"/>
          <w:sz w:val="18"/>
          <w:szCs w:val="18"/>
          <w:lang w:val="pt-BR"/>
        </w:rPr>
        <w:t>depe_var</w:t>
      </w:r>
      <w:proofErr w:type="spellEnd"/>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Reservado (</w:t>
      </w:r>
      <w:proofErr w:type="spellStart"/>
      <w:r>
        <w:rPr>
          <w:rFonts w:ascii="Work Sans" w:eastAsia="Times New Roman" w:hAnsi="Work Sans" w:cs="Times New Roman"/>
          <w:sz w:val="18"/>
          <w:szCs w:val="18"/>
          <w:lang w:val="pt-BR" w:eastAsia="es-ES"/>
        </w:rPr>
        <w:t>ac_res</w:t>
      </w:r>
      <w:proofErr w:type="spellEnd"/>
      <w:r>
        <w:rPr>
          <w:rFonts w:ascii="Work Sans" w:eastAsia="Times New Roman" w:hAnsi="Work Sans" w:cs="Times New Roman"/>
          <w:sz w:val="18"/>
          <w:szCs w:val="18"/>
          <w:lang w:val="pt-BR" w:eastAsia="es-ES"/>
        </w:rPr>
        <w:t>), Público (</w:t>
      </w:r>
      <w:proofErr w:type="spellStart"/>
      <w:r>
        <w:rPr>
          <w:rFonts w:ascii="Work Sans" w:eastAsia="Times New Roman" w:hAnsi="Work Sans" w:cs="Times New Roman"/>
          <w:sz w:val="18"/>
          <w:szCs w:val="18"/>
          <w:lang w:val="pt-BR" w:eastAsia="es-ES"/>
        </w:rPr>
        <w:t>ac_pub</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ac_cla</w:t>
      </w:r>
      <w:proofErr w:type="spellEnd"/>
      <w:r>
        <w:rPr>
          <w:rFonts w:ascii="Work Sans" w:eastAsia="Times New Roman" w:hAnsi="Work Sans" w:cs="Times New Roman"/>
          <w:sz w:val="18"/>
          <w:szCs w:val="18"/>
          <w:lang w:val="pt-BR" w:eastAsia="es-ES"/>
        </w:rPr>
        <w:t>).</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proofErr w:type="spellStart"/>
      <w:r>
        <w:rPr>
          <w:rFonts w:ascii="Work Sans" w:hAnsi="Work Sans" w:cs="Arial"/>
          <w:sz w:val="24"/>
          <w:szCs w:val="24"/>
        </w:rPr>
        <w:t>nombredestinatario</w:t>
      </w:r>
      <w:proofErr w:type="spellEnd"/>
      <w:r>
        <w:rPr>
          <w:rFonts w:ascii="Work Sans" w:hAnsi="Work Sans" w:cs="Arial"/>
          <w:sz w:val="24"/>
          <w:szCs w:val="24"/>
        </w:rPr>
        <w:br/>
      </w:r>
      <w:proofErr w:type="spellStart"/>
      <w:r>
        <w:rPr>
          <w:rFonts w:ascii="Work Sans" w:hAnsi="Work Sans" w:cs="Arial"/>
          <w:sz w:val="24"/>
          <w:szCs w:val="24"/>
        </w:rPr>
        <w:t>dptodestinatario</w:t>
      </w:r>
      <w:proofErr w:type="spellEnd"/>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r>
      <w:proofErr w:type="spellStart"/>
      <w:r>
        <w:rPr>
          <w:rFonts w:ascii="Work Sans" w:hAnsi="Work Sans" w:cs="Arial"/>
          <w:sz w:val="24"/>
          <w:szCs w:val="24"/>
        </w:rPr>
        <w:t>dptoremitente</w:t>
      </w:r>
      <w:proofErr w:type="spellEnd"/>
    </w:p>
    <w:p w14:paraId="1654F87E" w14:textId="77777777" w:rsidR="00AF21D9" w:rsidRDefault="00AF21D9" w:rsidP="00AF21D9">
      <w:pPr>
        <w:spacing w:line="240" w:lineRule="auto"/>
        <w:ind w:right="51"/>
        <w:contextualSpacing/>
        <w:rPr>
          <w:rFonts w:ascii="Work Sans" w:hAnsi="Work Sans" w:cs="Arial"/>
          <w:sz w:val="24"/>
          <w:szCs w:val="24"/>
        </w:rPr>
      </w:pPr>
    </w:p>
    <w:p w14:paraId="54EF6626" w14:textId="0874974E" w:rsidR="003322FA" w:rsidRDefault="00AF21D9" w:rsidP="003322FA">
      <w:pPr>
        <w:spacing w:line="240" w:lineRule="auto"/>
        <w:ind w:right="51"/>
        <w:contextualSpacing/>
        <w:rPr>
          <w:rFonts w:ascii="Work Sans" w:hAnsi="Work Sans" w:cs="Arial"/>
          <w:sz w:val="24"/>
          <w:szCs w:val="24"/>
        </w:rPr>
      </w:pPr>
      <w:r>
        <w:rPr>
          <w:rFonts w:ascii="Work Sans" w:hAnsi="Work Sans" w:cs="Arial"/>
          <w:b/>
          <w:sz w:val="24"/>
          <w:szCs w:val="24"/>
        </w:rPr>
        <w:t>ASUNTO:</w:t>
      </w:r>
      <w:r>
        <w:rPr>
          <w:rFonts w:ascii="Work Sans" w:hAnsi="Work Sans" w:cs="Arial"/>
          <w:sz w:val="24"/>
          <w:szCs w:val="24"/>
        </w:rPr>
        <w:tab/>
      </w:r>
      <w:proofErr w:type="spellStart"/>
      <w:r>
        <w:rPr>
          <w:rFonts w:ascii="Work Sans" w:hAnsi="Work Sans" w:cs="Arial"/>
          <w:sz w:val="24"/>
          <w:szCs w:val="24"/>
        </w:rPr>
        <w:t>r_asunto</w:t>
      </w:r>
      <w:proofErr w:type="spellEnd"/>
    </w:p>
    <w:p w14:paraId="7307347D" w14:textId="77777777" w:rsidR="003322FA" w:rsidRDefault="003322FA" w:rsidP="003322FA">
      <w:pPr>
        <w:spacing w:line="240" w:lineRule="auto"/>
        <w:ind w:right="51"/>
        <w:contextualSpacing/>
        <w:rPr>
          <w:rFonts w:ascii="Work Sans" w:hAnsi="Work Sans" w:cs="Arial"/>
          <w:sz w:val="24"/>
          <w:szCs w:val="24"/>
        </w:rPr>
      </w:pPr>
    </w:p>
    <w:p w14:paraId="17FDACDB" w14:textId="77F4CB03" w:rsidR="003322FA" w:rsidRPr="003322FA" w:rsidRDefault="003322FA" w:rsidP="003322FA">
      <w:pPr>
        <w:spacing w:line="240" w:lineRule="auto"/>
        <w:ind w:right="51"/>
        <w:contextualSpacing/>
        <w:rPr>
          <w:rFonts w:ascii="Work Sans" w:hAnsi="Work Sans" w:cs="Arial"/>
          <w:sz w:val="24"/>
          <w:szCs w:val="24"/>
        </w:rPr>
      </w:pPr>
    </w:p>
    <w:p w14:paraId="71E15FAA" w14:textId="77777777" w:rsidR="003322FA" w:rsidRDefault="003322FA" w:rsidP="003322FA">
      <w:pPr>
        <w:spacing w:line="240" w:lineRule="auto"/>
        <w:ind w:right="51"/>
        <w:contextualSpacing/>
        <w:jc w:val="both"/>
        <w:rPr>
          <w:rFonts w:ascii="Work Sans" w:hAnsi="Work Sans" w:cs="Arial"/>
          <w:sz w:val="24"/>
          <w:szCs w:val="24"/>
        </w:rPr>
      </w:pPr>
    </w:p>
    <w:p w14:paraId="0755DD71" w14:textId="77777777" w:rsidR="003322FA" w:rsidRDefault="003322FA" w:rsidP="003322FA">
      <w:pPr>
        <w:spacing w:line="240" w:lineRule="auto"/>
        <w:ind w:right="51"/>
        <w:contextualSpacing/>
        <w:jc w:val="both"/>
        <w:rPr>
          <w:rFonts w:ascii="Work Sans" w:hAnsi="Work Sans" w:cs="Arial"/>
          <w:sz w:val="24"/>
          <w:szCs w:val="24"/>
        </w:rPr>
      </w:pPr>
    </w:p>
    <w:p w14:paraId="1DABBF19" w14:textId="72B43B5A" w:rsidR="003322FA" w:rsidRDefault="003322FA" w:rsidP="003322FA">
      <w:pPr>
        <w:spacing w:line="240" w:lineRule="auto"/>
        <w:ind w:right="51"/>
        <w:contextualSpacing/>
        <w:jc w:val="both"/>
        <w:rPr>
          <w:rFonts w:ascii="Work Sans" w:hAnsi="Work Sans" w:cs="Arial"/>
          <w:sz w:val="24"/>
          <w:szCs w:val="24"/>
        </w:rPr>
      </w:pPr>
      <w:r w:rsidRPr="003322FA">
        <w:rPr>
          <w:rFonts w:ascii="Work Sans" w:hAnsi="Work Sans" w:cs="Arial"/>
          <w:sz w:val="24"/>
          <w:szCs w:val="24"/>
        </w:rPr>
        <w:t xml:space="preserve">Cordial saludo, </w:t>
      </w:r>
    </w:p>
    <w:p w14:paraId="59A038E9" w14:textId="77777777" w:rsidR="003322FA" w:rsidRPr="003322FA" w:rsidRDefault="003322FA" w:rsidP="003322FA">
      <w:pPr>
        <w:spacing w:line="240" w:lineRule="auto"/>
        <w:ind w:right="51"/>
        <w:contextualSpacing/>
        <w:jc w:val="both"/>
        <w:rPr>
          <w:rFonts w:ascii="Work Sans" w:hAnsi="Work Sans" w:cs="Arial"/>
          <w:sz w:val="24"/>
          <w:szCs w:val="24"/>
        </w:rPr>
      </w:pPr>
    </w:p>
    <w:p w14:paraId="215B7ECA" w14:textId="77777777" w:rsidR="003322FA" w:rsidRPr="003322FA" w:rsidRDefault="003322FA" w:rsidP="003322FA">
      <w:pPr>
        <w:spacing w:line="240" w:lineRule="auto"/>
        <w:ind w:right="51"/>
        <w:contextualSpacing/>
        <w:jc w:val="both"/>
        <w:rPr>
          <w:rFonts w:ascii="Work Sans" w:hAnsi="Work Sans" w:cs="Arial"/>
          <w:sz w:val="24"/>
          <w:szCs w:val="24"/>
        </w:rPr>
      </w:pPr>
    </w:p>
    <w:p w14:paraId="45D49459" w14:textId="747405BA" w:rsidR="003322FA" w:rsidRPr="003322FA" w:rsidRDefault="003322FA" w:rsidP="003322FA">
      <w:pPr>
        <w:pStyle w:val="p1"/>
        <w:jc w:val="both"/>
        <w:rPr>
          <w:rFonts w:ascii="Work Sans" w:hAnsi="Work Sans"/>
          <w:sz w:val="24"/>
          <w:szCs w:val="24"/>
        </w:rPr>
      </w:pPr>
      <w:r w:rsidRPr="003322FA">
        <w:rPr>
          <w:rFonts w:ascii="Work Sans" w:hAnsi="Work Sans"/>
          <w:sz w:val="24"/>
          <w:szCs w:val="24"/>
        </w:rPr>
        <w:t>En  atención al memorando con radicado 3-2025-054729 de fecha 10 de diciembre del 2025, en el cual se relaciona con el informe preliminar que contiene los resultados de la auditoría al proyecto de inversión “Proyecto de Implementación del Modelo de Gestión de Documentos Electrónicos de Archivo – MGDEA”, y en particular a las </w:t>
      </w:r>
      <w:r w:rsidRPr="003322FA">
        <w:rPr>
          <w:rFonts w:ascii="Work Sans" w:hAnsi="Work Sans"/>
          <w:b/>
          <w:bCs/>
          <w:sz w:val="24"/>
          <w:szCs w:val="24"/>
        </w:rPr>
        <w:t>Oportunidades de Mejora OM-05 y OM-06</w:t>
      </w:r>
      <w:r w:rsidRPr="003322FA">
        <w:rPr>
          <w:rFonts w:ascii="Work Sans" w:hAnsi="Work Sans"/>
          <w:sz w:val="24"/>
          <w:szCs w:val="24"/>
        </w:rPr>
        <w:t xml:space="preserve"> dirigidas al Grupo de Gestión Contractual, se emite respuesta en los siguientes términos:   </w:t>
      </w:r>
    </w:p>
    <w:p w14:paraId="7FE7DB3D" w14:textId="77777777" w:rsidR="003322FA" w:rsidRPr="003322FA" w:rsidRDefault="003322FA" w:rsidP="003322FA">
      <w:pPr>
        <w:pStyle w:val="p1"/>
        <w:jc w:val="both"/>
        <w:rPr>
          <w:rFonts w:ascii="Work Sans" w:hAnsi="Work Sans"/>
          <w:sz w:val="24"/>
          <w:szCs w:val="24"/>
        </w:rPr>
      </w:pPr>
    </w:p>
    <w:p w14:paraId="5306AE27" w14:textId="77777777" w:rsidR="003322FA" w:rsidRPr="003322FA" w:rsidRDefault="003322FA" w:rsidP="003322FA">
      <w:pPr>
        <w:pStyle w:val="p1"/>
        <w:jc w:val="both"/>
        <w:rPr>
          <w:rFonts w:ascii="Work Sans" w:hAnsi="Work Sans"/>
          <w:sz w:val="24"/>
          <w:szCs w:val="24"/>
        </w:rPr>
      </w:pPr>
    </w:p>
    <w:p w14:paraId="2AF50400" w14:textId="6177239D" w:rsidR="003322FA" w:rsidRPr="003322FA" w:rsidRDefault="003322FA" w:rsidP="003322FA">
      <w:pPr>
        <w:jc w:val="both"/>
        <w:rPr>
          <w:rFonts w:ascii="Work Sans" w:hAnsi="Work Sans" w:cs="Arial"/>
          <w:b/>
          <w:bCs/>
          <w:sz w:val="24"/>
          <w:szCs w:val="24"/>
        </w:rPr>
      </w:pPr>
      <w:r w:rsidRPr="003322FA">
        <w:rPr>
          <w:rFonts w:ascii="Work Sans" w:hAnsi="Work Sans" w:cs="Arial"/>
          <w:b/>
          <w:bCs/>
          <w:sz w:val="24"/>
          <w:szCs w:val="24"/>
        </w:rPr>
        <w:t xml:space="preserve">OPORTUNIDAD DE MEJORA (OM-05): </w:t>
      </w:r>
      <w:r w:rsidRPr="003322FA">
        <w:rPr>
          <w:rFonts w:ascii="Work Sans" w:hAnsi="Work Sans" w:cs="Arial"/>
          <w:sz w:val="24"/>
          <w:szCs w:val="24"/>
        </w:rPr>
        <w:t xml:space="preserve">Recomienda: </w:t>
      </w:r>
      <w:r w:rsidRPr="003322FA">
        <w:rPr>
          <w:rFonts w:ascii="Work Sans" w:hAnsi="Work Sans" w:cs="Arial"/>
          <w:b/>
          <w:bCs/>
          <w:sz w:val="24"/>
          <w:szCs w:val="24"/>
        </w:rPr>
        <w:t xml:space="preserve">  </w:t>
      </w:r>
    </w:p>
    <w:p w14:paraId="6EAE581B" w14:textId="196873C5" w:rsidR="003322FA" w:rsidRPr="003322FA" w:rsidRDefault="003322FA" w:rsidP="003322FA">
      <w:pPr>
        <w:jc w:val="both"/>
        <w:rPr>
          <w:rFonts w:ascii="Work Sans" w:hAnsi="Work Sans" w:cs="Arial"/>
          <w:b/>
          <w:bCs/>
          <w:sz w:val="24"/>
          <w:szCs w:val="24"/>
          <w:u w:val="single"/>
        </w:rPr>
      </w:pPr>
      <w:r w:rsidRPr="003322FA">
        <w:rPr>
          <w:rFonts w:ascii="Work Sans" w:hAnsi="Work Sans" w:cs="Arial"/>
          <w:b/>
          <w:bCs/>
          <w:i/>
          <w:iCs/>
          <w:sz w:val="24"/>
          <w:szCs w:val="24"/>
          <w:u w:val="single"/>
        </w:rPr>
        <w:t xml:space="preserve">“Actualizar los formatos del “Procedimiento de Contratos de Prestación de Servicios Profesionales y de Apoyo a la Gestión”, Código T-GC-P-04, del SIG”. </w:t>
      </w:r>
      <w:r w:rsidRPr="003322FA">
        <w:rPr>
          <w:rFonts w:ascii="Work Sans" w:hAnsi="Work Sans" w:cs="Arial"/>
          <w:i/>
          <w:iCs/>
          <w:sz w:val="24"/>
          <w:szCs w:val="24"/>
          <w:u w:val="single"/>
        </w:rPr>
        <w:t xml:space="preserve">El Grupo de Gestión Contractual como líder del Proceso de Gestión Contractual, con el apoyo de la Oficina de Planeación y Gestión Internacional – OPGI, debe actualizar el “Procedimiento de Contratos de Prestación de Servicios Profesionales y de Apoyo a la Gestión”, Código T-GC-P-04, 2023, del Sistema </w:t>
      </w:r>
      <w:r w:rsidRPr="003322FA">
        <w:rPr>
          <w:rFonts w:ascii="Work Sans" w:hAnsi="Work Sans" w:cs="Arial"/>
          <w:i/>
          <w:iCs/>
          <w:sz w:val="24"/>
          <w:szCs w:val="24"/>
          <w:u w:val="single"/>
        </w:rPr>
        <w:lastRenderedPageBreak/>
        <w:t>Integrado de Gestión del Ministerio de Minas y Energía - SIG, de manera que en el Numeral 6. “Registros”, se reflejen los siguientes formatos: (1) “Formato Lista de Chequeo – Contratos de Prestación de Servicios Profesionales y de Apoyo a la Gestión”, Código T-GC-F-02, 18 de noviembre de 2024, Versión 15; (2) “Formato Verificación Experiencia para Contratistas de Prestación de Servicios Profesionales y Apoyo a la Gestión”, Código T-GC-F-04, 5 de junio de 2023, Versión 3; (3) “Formato Complementario Contrato de Prestación de Servicios Profesionales o de Apoyo a la Gestión”, Código T-GC-F-07, 19 de septiembre de 2024, Versión 7; (4) “Formato Estudios Previos Contratos de Prestación de Servicios y de Apoyo a la Gestión”, Código T-GC-F-08, 5 de junio de 2023, Versión 3; y (5) “Formato Certificación de Idoneidad y Solicitud de Contratación Directa de Prestación de Servicios Profesionales o de Apoyo a la Gestión”, Código T-GC-F-27, entre otros.</w:t>
      </w:r>
    </w:p>
    <w:p w14:paraId="3B217872" w14:textId="6712142F" w:rsidR="003322FA" w:rsidRPr="003322FA" w:rsidRDefault="003322FA" w:rsidP="003322FA">
      <w:pPr>
        <w:jc w:val="both"/>
        <w:rPr>
          <w:rFonts w:ascii="Work Sans" w:hAnsi="Work Sans" w:cs="Arial"/>
          <w:i/>
          <w:iCs/>
          <w:sz w:val="24"/>
          <w:szCs w:val="24"/>
          <w:u w:val="single"/>
        </w:rPr>
      </w:pPr>
      <w:r w:rsidRPr="003322FA">
        <w:rPr>
          <w:rFonts w:ascii="Work Sans" w:hAnsi="Work Sans" w:cs="Arial"/>
          <w:i/>
          <w:iCs/>
          <w:sz w:val="24"/>
          <w:szCs w:val="24"/>
          <w:u w:val="single"/>
        </w:rPr>
        <w:t>Lo anterior, dado que se incluyó en el Procedimiento en mención, Numeral 6. “Registros”, los siguientes documentos que están desactualizados: “Lista de chequeo – contratos de prestación de servicios profesionales y de apoyo a la gestión GJ-F-11”; “Verificación experiencia para contratistas de prestación de servicios profesionales y apoyo a la gestión GJ-F-19”; “Documento complementario contrato de prestación de servicios profesionales o de apoyo a la gestión GJ-F-22”; “Estudios previos contratos de prestación de servicios y de apoyo a la gestión GJ-F-23”; y “Certificación de idoneidad contratación directa - prestación de servicios profesionales o de apoyo a la gestión GJ-F-40”, entre otros.(…)”.</w:t>
      </w:r>
    </w:p>
    <w:p w14:paraId="1B6D5A2F" w14:textId="3E0DA854" w:rsidR="003322FA" w:rsidRPr="003322FA" w:rsidRDefault="003322FA" w:rsidP="003322FA">
      <w:p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Sobre el particular, el Grupo de Gestión Contractual confirma que la actualización ya fue realizada en el Sistema Integrado de Gestión – SIG, tal como se mencionó en correo de respuesta a la OCI relacionada con el borrador del informe preliminar remitido el día 27 de noviembre del 2025</w:t>
      </w:r>
    </w:p>
    <w:p w14:paraId="60E3E206" w14:textId="458D0EC3" w:rsidR="003322FA" w:rsidRPr="003322FA" w:rsidRDefault="003322FA" w:rsidP="003322FA">
      <w:p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En dicha actualización se incorporaron la totalidad de los formatos vigentes, así:</w:t>
      </w:r>
    </w:p>
    <w:p w14:paraId="5DCE4382" w14:textId="6AC4D7FD"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hAnsi="Work Sans" w:cs="Arial"/>
          <w:sz w:val="24"/>
          <w:szCs w:val="24"/>
        </w:rPr>
        <w:lastRenderedPageBreak/>
        <w:t>Procedimiento de Contratos de Prestación de Servicios Profesionales y de Apoyo a la Gestión”, Código T-GC-P-04 el 19 de noviembre del 2025, versión 5.</w:t>
      </w:r>
    </w:p>
    <w:p w14:paraId="2162FC90" w14:textId="756CE276"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 xml:space="preserve">Formato Lista de Chequeo – Contratos de Prestación de Servicios Profesionales y de Apoyo a la Gestión, Código T-GC-F-02, </w:t>
      </w:r>
      <w:r w:rsidRPr="003322FA">
        <w:rPr>
          <w:rFonts w:ascii="Work Sans" w:hAnsi="Work Sans" w:cs="Arial"/>
          <w:sz w:val="24"/>
          <w:szCs w:val="24"/>
        </w:rPr>
        <w:t>el 19 de noviembre del 2025</w:t>
      </w:r>
      <w:r w:rsidRPr="003322FA">
        <w:rPr>
          <w:rFonts w:ascii="Work Sans" w:eastAsia="Times New Roman" w:hAnsi="Work Sans" w:cs="Times New Roman"/>
          <w:color w:val="000000"/>
          <w:sz w:val="24"/>
          <w:szCs w:val="24"/>
          <w:lang w:eastAsia="es-MX"/>
        </w:rPr>
        <w:t>, Versión 16.</w:t>
      </w:r>
    </w:p>
    <w:p w14:paraId="6D7FE7DE" w14:textId="65990762"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Formato Verificación Experiencia para Contratistas, Código T-GC-F-04, 02 de diciembre  Versión 4.</w:t>
      </w:r>
    </w:p>
    <w:p w14:paraId="5EEF1B65" w14:textId="69A01275"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 xml:space="preserve">Formato Complementario Contrato de Prestación de Servicios Profesionales o de Apoyo a la Gestión, Código T-GC-F-07, </w:t>
      </w:r>
      <w:r w:rsidRPr="003322FA">
        <w:rPr>
          <w:rFonts w:ascii="Work Sans" w:hAnsi="Work Sans" w:cs="Arial"/>
          <w:sz w:val="24"/>
          <w:szCs w:val="24"/>
        </w:rPr>
        <w:t>el 19 de noviembre del 2025</w:t>
      </w:r>
      <w:r w:rsidRPr="003322FA">
        <w:rPr>
          <w:rFonts w:ascii="Work Sans" w:eastAsia="Times New Roman" w:hAnsi="Work Sans" w:cs="Times New Roman"/>
          <w:color w:val="000000"/>
          <w:sz w:val="24"/>
          <w:szCs w:val="24"/>
          <w:lang w:eastAsia="es-MX"/>
        </w:rPr>
        <w:t>, Versión 8.</w:t>
      </w:r>
    </w:p>
    <w:p w14:paraId="15FAD32D" w14:textId="68729E47"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Formato Estudios Previos, Código T-GC-F-08, el 31 de octubre del 2025, Versión 4.</w:t>
      </w:r>
    </w:p>
    <w:p w14:paraId="528424E3" w14:textId="60D68511" w:rsidR="003322FA" w:rsidRPr="003322FA" w:rsidRDefault="003322FA" w:rsidP="003322FA">
      <w:pPr>
        <w:numPr>
          <w:ilvl w:val="0"/>
          <w:numId w:val="1"/>
        </w:num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 xml:space="preserve">Formato Certificación de Idoneidad y Solicitud de Contratación Directa, Código T-GC-F-27, </w:t>
      </w:r>
      <w:r w:rsidRPr="003322FA">
        <w:rPr>
          <w:rFonts w:ascii="Work Sans" w:hAnsi="Work Sans" w:cs="Arial"/>
          <w:sz w:val="24"/>
          <w:szCs w:val="24"/>
        </w:rPr>
        <w:t>el 19 de noviembre del 2025</w:t>
      </w:r>
      <w:r w:rsidRPr="003322FA">
        <w:rPr>
          <w:rFonts w:ascii="Work Sans" w:eastAsia="Times New Roman" w:hAnsi="Work Sans" w:cs="Times New Roman"/>
          <w:color w:val="000000"/>
          <w:sz w:val="24"/>
          <w:szCs w:val="24"/>
          <w:lang w:eastAsia="es-MX"/>
        </w:rPr>
        <w:t>, Versión 5.</w:t>
      </w:r>
    </w:p>
    <w:p w14:paraId="249569F1" w14:textId="617CF643" w:rsidR="003322FA" w:rsidRPr="003322FA" w:rsidRDefault="003322FA" w:rsidP="003322FA">
      <w:p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Pr>
          <w:rFonts w:ascii="Work Sans" w:eastAsia="Times New Roman" w:hAnsi="Work Sans" w:cs="Times New Roman"/>
          <w:color w:val="000000"/>
          <w:sz w:val="24"/>
          <w:szCs w:val="24"/>
          <w:lang w:eastAsia="es-MX"/>
        </w:rPr>
        <w:t>Es decir, que el citado procedimiento se encuentra actualizado, así como los documentos asociados al mismo, los cuales están</w:t>
      </w:r>
      <w:r w:rsidRPr="003322FA">
        <w:rPr>
          <w:rFonts w:ascii="Work Sans" w:eastAsia="Times New Roman" w:hAnsi="Work Sans" w:cs="Times New Roman"/>
          <w:color w:val="000000"/>
          <w:sz w:val="24"/>
          <w:szCs w:val="24"/>
          <w:lang w:eastAsia="es-MX"/>
        </w:rPr>
        <w:t xml:space="preserve"> plenamente alineado</w:t>
      </w:r>
      <w:r>
        <w:rPr>
          <w:rFonts w:ascii="Work Sans" w:eastAsia="Times New Roman" w:hAnsi="Work Sans" w:cs="Times New Roman"/>
          <w:color w:val="000000"/>
          <w:sz w:val="24"/>
          <w:szCs w:val="24"/>
          <w:lang w:eastAsia="es-MX"/>
        </w:rPr>
        <w:t>s</w:t>
      </w:r>
      <w:r w:rsidRPr="003322FA">
        <w:rPr>
          <w:rFonts w:ascii="Work Sans" w:eastAsia="Times New Roman" w:hAnsi="Work Sans" w:cs="Times New Roman"/>
          <w:color w:val="000000"/>
          <w:sz w:val="24"/>
          <w:szCs w:val="24"/>
          <w:lang w:eastAsia="es-MX"/>
        </w:rPr>
        <w:t xml:space="preserve"> con los estándares documentales y de control definidos en el SIG.</w:t>
      </w:r>
    </w:p>
    <w:p w14:paraId="44725882" w14:textId="20C6214E" w:rsidR="003322FA" w:rsidRPr="003322FA" w:rsidRDefault="003322FA" w:rsidP="003322FA">
      <w:pPr>
        <w:jc w:val="both"/>
        <w:rPr>
          <w:rFonts w:ascii="Work Sans" w:hAnsi="Work Sans" w:cs="Arial"/>
          <w:b/>
          <w:bCs/>
          <w:sz w:val="24"/>
          <w:szCs w:val="24"/>
        </w:rPr>
      </w:pPr>
      <w:r w:rsidRPr="003322FA">
        <w:rPr>
          <w:rFonts w:ascii="Work Sans" w:hAnsi="Work Sans" w:cs="Arial"/>
          <w:b/>
          <w:bCs/>
          <w:sz w:val="24"/>
          <w:szCs w:val="24"/>
        </w:rPr>
        <w:t xml:space="preserve">OPORTUNIDAD DE MEJORA (OM-06): </w:t>
      </w:r>
      <w:r w:rsidRPr="003322FA">
        <w:rPr>
          <w:rFonts w:ascii="Work Sans" w:hAnsi="Work Sans" w:cs="Arial"/>
          <w:sz w:val="24"/>
          <w:szCs w:val="24"/>
        </w:rPr>
        <w:t>Recomienda:</w:t>
      </w:r>
    </w:p>
    <w:p w14:paraId="4BEDB0D8" w14:textId="0E53D90D" w:rsidR="003322FA" w:rsidRPr="003322FA" w:rsidRDefault="003322FA" w:rsidP="003322FA">
      <w:pPr>
        <w:jc w:val="both"/>
        <w:rPr>
          <w:rFonts w:ascii="Work Sans" w:hAnsi="Work Sans" w:cs="Arial"/>
          <w:b/>
          <w:bCs/>
          <w:i/>
          <w:iCs/>
          <w:sz w:val="24"/>
          <w:szCs w:val="24"/>
          <w:u w:val="single"/>
        </w:rPr>
      </w:pPr>
      <w:r w:rsidRPr="003322FA">
        <w:rPr>
          <w:rFonts w:ascii="Work Sans" w:hAnsi="Work Sans" w:cs="Arial"/>
          <w:b/>
          <w:bCs/>
          <w:i/>
          <w:iCs/>
          <w:sz w:val="24"/>
          <w:szCs w:val="24"/>
          <w:u w:val="single"/>
        </w:rPr>
        <w:t xml:space="preserve">“Actualizar el “Procedimiento de Contratos de Prestación de Servicios Profesionales y de Apoyo a la Gestión”, T-GC-P-04, del SIG, que incluya P-H-V-A, en las etapas Precontractual, Contractual y </w:t>
      </w:r>
      <w:proofErr w:type="spellStart"/>
      <w:r w:rsidRPr="003322FA">
        <w:rPr>
          <w:rFonts w:ascii="Work Sans" w:hAnsi="Work Sans" w:cs="Arial"/>
          <w:b/>
          <w:bCs/>
          <w:i/>
          <w:iCs/>
          <w:sz w:val="24"/>
          <w:szCs w:val="24"/>
          <w:u w:val="single"/>
        </w:rPr>
        <w:t>Postcontractual</w:t>
      </w:r>
      <w:proofErr w:type="spellEnd"/>
      <w:r w:rsidRPr="003322FA">
        <w:rPr>
          <w:rFonts w:ascii="Work Sans" w:hAnsi="Work Sans" w:cs="Arial"/>
          <w:b/>
          <w:bCs/>
          <w:i/>
          <w:iCs/>
          <w:sz w:val="24"/>
          <w:szCs w:val="24"/>
          <w:u w:val="single"/>
        </w:rPr>
        <w:t xml:space="preserve">.  </w:t>
      </w:r>
      <w:r w:rsidRPr="003322FA">
        <w:rPr>
          <w:rFonts w:ascii="Work Sans" w:hAnsi="Work Sans" w:cs="Arial"/>
          <w:i/>
          <w:iCs/>
          <w:sz w:val="24"/>
          <w:szCs w:val="24"/>
          <w:u w:val="single"/>
        </w:rPr>
        <w:t xml:space="preserve">El Grupo de Gestión Contractual – GGC, con el apoyo de la Oficina de Planeación y Gestión Internacional – OPGI, debe actualizar el Procedimiento de Contratos de Prestación de Servicios Profesionales y de Apoyo a la Gestión, T-GC-P-04, 2023, del Sistema Integrado de Gestión del Ministerio de Minas y Energía - SIG, de manera que incluya todas las actividades requeridas para la ejecución del Ciclo Planificar-Hacer-Verificar-Actuar, en las etapas Precontractual, Contractual y </w:t>
      </w:r>
      <w:proofErr w:type="spellStart"/>
      <w:r w:rsidRPr="003322FA">
        <w:rPr>
          <w:rFonts w:ascii="Work Sans" w:hAnsi="Work Sans" w:cs="Arial"/>
          <w:i/>
          <w:iCs/>
          <w:sz w:val="24"/>
          <w:szCs w:val="24"/>
          <w:u w:val="single"/>
        </w:rPr>
        <w:t>Postcontractual</w:t>
      </w:r>
      <w:proofErr w:type="spellEnd"/>
      <w:r w:rsidRPr="003322FA">
        <w:rPr>
          <w:rFonts w:ascii="Work Sans" w:hAnsi="Work Sans" w:cs="Arial"/>
          <w:i/>
          <w:iCs/>
          <w:sz w:val="24"/>
          <w:szCs w:val="24"/>
          <w:u w:val="single"/>
        </w:rPr>
        <w:t>.</w:t>
      </w:r>
    </w:p>
    <w:p w14:paraId="78A63BF0" w14:textId="77777777" w:rsidR="003322FA" w:rsidRPr="003322FA" w:rsidRDefault="003322FA" w:rsidP="003322FA">
      <w:pPr>
        <w:pStyle w:val="Encabezado"/>
        <w:tabs>
          <w:tab w:val="left" w:pos="851"/>
        </w:tabs>
        <w:jc w:val="both"/>
        <w:rPr>
          <w:rFonts w:ascii="Work Sans" w:hAnsi="Work Sans" w:cs="Arial"/>
          <w:i/>
          <w:iCs/>
          <w:sz w:val="24"/>
          <w:szCs w:val="24"/>
          <w:u w:val="single"/>
        </w:rPr>
      </w:pPr>
      <w:r w:rsidRPr="003322FA">
        <w:rPr>
          <w:rFonts w:ascii="Work Sans" w:hAnsi="Work Sans" w:cs="Arial"/>
          <w:i/>
          <w:iCs/>
          <w:sz w:val="24"/>
          <w:szCs w:val="24"/>
          <w:u w:val="single"/>
        </w:rPr>
        <w:t xml:space="preserve">Teniendo en cuenta que es un Subproceso Transversal del SIG, debe incluir las actividades, controles, productos, mecanismos de retroalimentación, responsables, autoridad y competentes, relacionando los instructivos, manuales </w:t>
      </w:r>
      <w:r w:rsidRPr="003322FA">
        <w:rPr>
          <w:rFonts w:ascii="Work Sans" w:hAnsi="Work Sans" w:cs="Arial"/>
          <w:i/>
          <w:iCs/>
          <w:sz w:val="24"/>
          <w:szCs w:val="24"/>
          <w:u w:val="single"/>
        </w:rPr>
        <w:lastRenderedPageBreak/>
        <w:t>y herramientas que hacen parte de este, que facilitan la ejecución de todos los actores que intervienen, tanto de la Primera como de la Segunda Línea de Defensa, y que facilitan la ejecución de los objetivos del Subproceso.</w:t>
      </w:r>
    </w:p>
    <w:p w14:paraId="1C564E7D" w14:textId="77777777" w:rsidR="003322FA" w:rsidRPr="003322FA" w:rsidRDefault="003322FA" w:rsidP="003322FA">
      <w:pPr>
        <w:pStyle w:val="Encabezado"/>
        <w:tabs>
          <w:tab w:val="left" w:pos="851"/>
        </w:tabs>
        <w:jc w:val="both"/>
        <w:rPr>
          <w:rFonts w:ascii="Work Sans" w:hAnsi="Work Sans" w:cs="Arial"/>
          <w:i/>
          <w:iCs/>
          <w:sz w:val="24"/>
          <w:szCs w:val="24"/>
          <w:u w:val="single"/>
        </w:rPr>
      </w:pPr>
    </w:p>
    <w:p w14:paraId="360DE541" w14:textId="0BD74F7B" w:rsidR="003322FA" w:rsidRPr="003322FA" w:rsidRDefault="003322FA" w:rsidP="003322FA">
      <w:pPr>
        <w:pStyle w:val="Encabezado"/>
        <w:tabs>
          <w:tab w:val="left" w:pos="851"/>
        </w:tabs>
        <w:jc w:val="both"/>
        <w:rPr>
          <w:rFonts w:ascii="Work Sans" w:hAnsi="Work Sans" w:cs="Arial"/>
          <w:i/>
          <w:iCs/>
          <w:sz w:val="24"/>
          <w:szCs w:val="24"/>
          <w:u w:val="single"/>
        </w:rPr>
      </w:pPr>
      <w:r w:rsidRPr="003322FA">
        <w:rPr>
          <w:rFonts w:ascii="Work Sans" w:hAnsi="Work Sans" w:cs="Arial"/>
          <w:i/>
          <w:iCs/>
          <w:sz w:val="24"/>
          <w:szCs w:val="24"/>
          <w:u w:val="single"/>
        </w:rPr>
        <w:t>Lo anterior, de conformidad con las disposiciones normativas descritas en el Anexo 2. “Disposiciones Normativas Sobre Documentación de Procedimiento”, el cual hace parte integral del presente informe.(…)”</w:t>
      </w:r>
    </w:p>
    <w:p w14:paraId="22A67129" w14:textId="601FFF93" w:rsidR="003322FA" w:rsidRDefault="003322FA" w:rsidP="00F22498">
      <w:pPr>
        <w:suppressAutoHyphens w:val="0"/>
        <w:spacing w:before="100" w:beforeAutospacing="1" w:after="100" w:afterAutospacing="1" w:line="240" w:lineRule="auto"/>
        <w:jc w:val="both"/>
        <w:rPr>
          <w:rFonts w:ascii="Work Sans" w:eastAsia="Times New Roman" w:hAnsi="Work Sans" w:cs="Times New Roman"/>
          <w:color w:val="000000"/>
          <w:sz w:val="24"/>
          <w:szCs w:val="24"/>
          <w:lang w:eastAsia="es-MX"/>
        </w:rPr>
      </w:pPr>
      <w:r w:rsidRPr="003322FA">
        <w:rPr>
          <w:rFonts w:ascii="Work Sans" w:eastAsia="Times New Roman" w:hAnsi="Work Sans" w:cs="Times New Roman"/>
          <w:color w:val="000000"/>
          <w:sz w:val="24"/>
          <w:szCs w:val="24"/>
          <w:lang w:eastAsia="es-MX"/>
        </w:rPr>
        <w:t xml:space="preserve">En relación con este punto, </w:t>
      </w:r>
      <w:r w:rsidR="00F22498">
        <w:rPr>
          <w:rFonts w:ascii="Work Sans" w:eastAsia="Times New Roman" w:hAnsi="Work Sans" w:cs="Times New Roman"/>
          <w:color w:val="000000"/>
          <w:sz w:val="24"/>
          <w:szCs w:val="24"/>
          <w:lang w:eastAsia="es-MX"/>
        </w:rPr>
        <w:t xml:space="preserve">es importante indicar que el Grupo de Gestión Contractual cuenta con 11 procedimientos formalizados en el Sistema Integrado de Gestión, siendo estos propios de las distintas etapas de los procesos de contratación. </w:t>
      </w:r>
    </w:p>
    <w:p w14:paraId="1F0C0EE5" w14:textId="1E166547" w:rsidR="002757D9" w:rsidRPr="00F22498" w:rsidRDefault="00F22498" w:rsidP="003322FA">
      <w:pPr>
        <w:suppressAutoHyphens w:val="0"/>
        <w:spacing w:before="100" w:beforeAutospacing="1" w:after="100" w:afterAutospacing="1" w:line="240" w:lineRule="auto"/>
        <w:jc w:val="both"/>
        <w:rPr>
          <w:rFonts w:ascii="Work Sans" w:eastAsia="Times New Roman" w:hAnsi="Work Sans" w:cs="Times New Roman"/>
          <w:b/>
          <w:bCs/>
          <w:color w:val="000000"/>
          <w:sz w:val="24"/>
          <w:szCs w:val="24"/>
          <w:lang w:eastAsia="es-MX"/>
        </w:rPr>
      </w:pPr>
      <w:r>
        <w:rPr>
          <w:rFonts w:ascii="Work Sans" w:eastAsia="Times New Roman" w:hAnsi="Work Sans" w:cs="Times New Roman"/>
          <w:color w:val="000000"/>
          <w:sz w:val="24"/>
          <w:szCs w:val="24"/>
          <w:lang w:eastAsia="es-MX"/>
        </w:rPr>
        <w:t>No obstante lo anterior, se realizarán los análisis respectivos al interior del Grupo a fin de determinar la viabilidad y coherencia de la incorporación de estas gestiones en el marco de la Gestión Contractual.</w:t>
      </w:r>
    </w:p>
    <w:p w14:paraId="425E25CF" w14:textId="3B420C6E" w:rsidR="002757D9" w:rsidRPr="003322FA" w:rsidRDefault="003322FA" w:rsidP="003322FA">
      <w:pPr>
        <w:spacing w:line="240" w:lineRule="auto"/>
        <w:ind w:right="51"/>
        <w:contextualSpacing/>
        <w:jc w:val="both"/>
        <w:rPr>
          <w:rFonts w:ascii="Work Sans" w:hAnsi="Work Sans" w:cs="Arial"/>
          <w:sz w:val="24"/>
          <w:szCs w:val="24"/>
        </w:rPr>
      </w:pPr>
      <w:r w:rsidRPr="003322FA">
        <w:rPr>
          <w:rFonts w:ascii="Work Sans" w:hAnsi="Work Sans" w:cs="Arial"/>
          <w:sz w:val="24"/>
          <w:szCs w:val="24"/>
        </w:rPr>
        <w:t xml:space="preserve">Finalmente, este Grupo reitera su disposición para atender cualquier aclaración adicional que considere pertinente esa Oficina de Control Interno y para continuar fortaleciendo, de manera articulada, las prácticas de gestión documental y contractual en el marco del Sistema Integrado de Gestión. </w:t>
      </w:r>
    </w:p>
    <w:p w14:paraId="0A181A74" w14:textId="77777777" w:rsidR="003322FA" w:rsidRPr="003322FA" w:rsidRDefault="003322FA" w:rsidP="003322FA">
      <w:pPr>
        <w:spacing w:line="240" w:lineRule="auto"/>
        <w:ind w:right="51"/>
        <w:contextualSpacing/>
        <w:jc w:val="both"/>
        <w:rPr>
          <w:rFonts w:ascii="Work Sans" w:hAnsi="Work Sans" w:cs="Arial"/>
          <w:sz w:val="24"/>
          <w:szCs w:val="24"/>
        </w:rPr>
      </w:pPr>
    </w:p>
    <w:p w14:paraId="0C20351F" w14:textId="6FCE1936" w:rsidR="003322FA" w:rsidRPr="003322FA" w:rsidRDefault="003322FA" w:rsidP="003322FA">
      <w:pPr>
        <w:spacing w:line="240" w:lineRule="auto"/>
        <w:ind w:right="51"/>
        <w:contextualSpacing/>
        <w:jc w:val="both"/>
        <w:rPr>
          <w:rFonts w:ascii="Work Sans" w:hAnsi="Work Sans" w:cs="Arial"/>
          <w:sz w:val="24"/>
          <w:szCs w:val="24"/>
          <w:highlight w:val="yellow"/>
        </w:rPr>
      </w:pPr>
      <w:r w:rsidRPr="003322FA">
        <w:rPr>
          <w:rFonts w:ascii="Work Sans" w:hAnsi="Work Sans" w:cs="Arial"/>
          <w:sz w:val="24"/>
          <w:szCs w:val="24"/>
        </w:rPr>
        <w:t xml:space="preserve">Sin otro particular, </w:t>
      </w:r>
    </w:p>
    <w:p w14:paraId="0D9D3524" w14:textId="77777777" w:rsidR="003322FA" w:rsidRPr="003322FA" w:rsidRDefault="003322FA" w:rsidP="003322FA">
      <w:pPr>
        <w:spacing w:line="240" w:lineRule="auto"/>
        <w:ind w:right="51"/>
        <w:contextualSpacing/>
        <w:jc w:val="both"/>
        <w:rPr>
          <w:rFonts w:ascii="Work Sans" w:hAnsi="Work Sans" w:cs="Arial"/>
          <w:sz w:val="24"/>
          <w:highlight w:val="yellow"/>
        </w:rPr>
      </w:pPr>
    </w:p>
    <w:p w14:paraId="22DD1EE3" w14:textId="77777777" w:rsidR="00AF21D9" w:rsidRPr="003322FA" w:rsidRDefault="00AF21D9" w:rsidP="003322FA">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rsidRPr="003322FA" w14:paraId="6EF2CBBB" w14:textId="77777777" w:rsidTr="00452E77">
        <w:tc>
          <w:tcPr>
            <w:tcW w:w="8789" w:type="dxa"/>
            <w:gridSpan w:val="2"/>
          </w:tcPr>
          <w:p w14:paraId="17F6B7B8" w14:textId="77777777" w:rsidR="00AF21D9" w:rsidRPr="003322FA" w:rsidRDefault="00AF21D9" w:rsidP="003322FA">
            <w:pPr>
              <w:spacing w:after="0"/>
              <w:jc w:val="both"/>
              <w:rPr>
                <w:rFonts w:ascii="Work Sans" w:hAnsi="Work Sans"/>
                <w:sz w:val="24"/>
                <w:szCs w:val="24"/>
              </w:rPr>
            </w:pPr>
            <w:proofErr w:type="spellStart"/>
            <w:r w:rsidRPr="003322FA">
              <w:rPr>
                <w:rFonts w:ascii="Work Sans" w:hAnsi="Work Sans" w:cs="Arial"/>
                <w:sz w:val="24"/>
              </w:rPr>
              <w:t>Tabla_Firmantes</w:t>
            </w:r>
            <w:proofErr w:type="spellEnd"/>
          </w:p>
        </w:tc>
      </w:tr>
      <w:tr w:rsidR="00AF21D9" w:rsidRPr="003322FA" w14:paraId="20FB7E56" w14:textId="77777777" w:rsidTr="00452E77">
        <w:tc>
          <w:tcPr>
            <w:tcW w:w="4380" w:type="dxa"/>
          </w:tcPr>
          <w:p w14:paraId="737EC67B" w14:textId="77777777" w:rsidR="00AF21D9" w:rsidRPr="003322FA" w:rsidRDefault="00AF21D9" w:rsidP="003322FA">
            <w:pPr>
              <w:spacing w:after="0"/>
              <w:jc w:val="both"/>
              <w:rPr>
                <w:rFonts w:ascii="Work Sans" w:hAnsi="Work Sans"/>
              </w:rPr>
            </w:pPr>
          </w:p>
        </w:tc>
        <w:tc>
          <w:tcPr>
            <w:tcW w:w="4409" w:type="dxa"/>
          </w:tcPr>
          <w:p w14:paraId="61915F22" w14:textId="77777777" w:rsidR="00AF21D9" w:rsidRPr="003322FA" w:rsidRDefault="00AF21D9" w:rsidP="003322FA">
            <w:pPr>
              <w:spacing w:after="0"/>
              <w:jc w:val="both"/>
              <w:rPr>
                <w:rFonts w:ascii="Work Sans" w:hAnsi="Work Sans"/>
              </w:rPr>
            </w:pPr>
          </w:p>
        </w:tc>
      </w:tr>
      <w:tr w:rsidR="00AF21D9" w:rsidRPr="003322FA" w14:paraId="6466065E" w14:textId="77777777" w:rsidTr="00452E77">
        <w:tc>
          <w:tcPr>
            <w:tcW w:w="4380" w:type="dxa"/>
          </w:tcPr>
          <w:p w14:paraId="6B2A5AB1" w14:textId="77777777" w:rsidR="00AF21D9" w:rsidRPr="003322FA" w:rsidRDefault="00AF21D9" w:rsidP="003322FA">
            <w:pPr>
              <w:spacing w:after="0"/>
              <w:jc w:val="both"/>
              <w:rPr>
                <w:rFonts w:ascii="Work Sans" w:hAnsi="Work Sans"/>
              </w:rPr>
            </w:pPr>
          </w:p>
        </w:tc>
        <w:tc>
          <w:tcPr>
            <w:tcW w:w="4409" w:type="dxa"/>
          </w:tcPr>
          <w:p w14:paraId="52E63402" w14:textId="77777777" w:rsidR="00AF21D9" w:rsidRPr="003322FA" w:rsidRDefault="00AF21D9" w:rsidP="003322FA">
            <w:pPr>
              <w:spacing w:after="0"/>
              <w:jc w:val="both"/>
              <w:rPr>
                <w:rFonts w:ascii="Work Sans" w:hAnsi="Work Sans"/>
              </w:rPr>
            </w:pPr>
          </w:p>
        </w:tc>
      </w:tr>
    </w:tbl>
    <w:p w14:paraId="390F3597" w14:textId="77777777" w:rsidR="00AF21D9" w:rsidRPr="003322FA" w:rsidRDefault="00AF21D9" w:rsidP="003322FA">
      <w:pPr>
        <w:spacing w:after="0"/>
        <w:jc w:val="both"/>
        <w:rPr>
          <w:rFonts w:ascii="Work Sans" w:hAnsi="Work Sans"/>
          <w:sz w:val="16"/>
          <w:szCs w:val="16"/>
        </w:rPr>
      </w:pPr>
      <w:proofErr w:type="spellStart"/>
      <w:r w:rsidRPr="003322FA">
        <w:rPr>
          <w:rFonts w:ascii="Work Sans" w:hAnsi="Work Sans"/>
          <w:sz w:val="16"/>
          <w:szCs w:val="16"/>
        </w:rPr>
        <w:t>ley_texto</w:t>
      </w:r>
      <w:proofErr w:type="spellEnd"/>
    </w:p>
    <w:p w14:paraId="1787BBD9" w14:textId="77777777" w:rsidR="00AF21D9" w:rsidRPr="003322FA" w:rsidRDefault="00AF21D9" w:rsidP="003322FA">
      <w:pPr>
        <w:spacing w:after="0"/>
        <w:jc w:val="both"/>
        <w:rPr>
          <w:rFonts w:ascii="Work Sans" w:eastAsia="Times New Roman" w:hAnsi="Work Sans" w:cs="Times New Roman"/>
          <w:spacing w:val="-3"/>
          <w:sz w:val="16"/>
          <w:szCs w:val="16"/>
          <w:lang w:val="es-ES_tradnl" w:eastAsia="es-ES"/>
        </w:rPr>
      </w:pPr>
      <w:proofErr w:type="spellStart"/>
      <w:r w:rsidRPr="003322FA">
        <w:rPr>
          <w:rFonts w:ascii="Work Sans" w:eastAsia="Times New Roman" w:hAnsi="Work Sans" w:cs="Times New Roman"/>
          <w:spacing w:val="-3"/>
          <w:sz w:val="16"/>
          <w:szCs w:val="16"/>
          <w:lang w:val="es-ES_tradnl" w:eastAsia="es-ES"/>
        </w:rPr>
        <w:t>rad_padre</w:t>
      </w:r>
      <w:proofErr w:type="spellEnd"/>
    </w:p>
    <w:p w14:paraId="4D3E2D14" w14:textId="77777777" w:rsidR="00AF21D9" w:rsidRPr="003322FA" w:rsidRDefault="00AF21D9" w:rsidP="003322FA">
      <w:pPr>
        <w:spacing w:after="0"/>
        <w:jc w:val="both"/>
        <w:rPr>
          <w:rFonts w:ascii="Work Sans" w:hAnsi="Work Sans"/>
          <w:sz w:val="16"/>
          <w:szCs w:val="16"/>
        </w:rPr>
      </w:pPr>
      <w:proofErr w:type="spellStart"/>
      <w:r w:rsidRPr="003322FA">
        <w:rPr>
          <w:rFonts w:ascii="Work Sans" w:hAnsi="Work Sans"/>
          <w:sz w:val="16"/>
          <w:szCs w:val="16"/>
        </w:rPr>
        <w:t>anexo_r</w:t>
      </w:r>
      <w:proofErr w:type="spellEnd"/>
    </w:p>
    <w:p w14:paraId="65542969" w14:textId="77777777" w:rsidR="00AF21D9" w:rsidRPr="003322FA" w:rsidRDefault="00AF21D9" w:rsidP="003322FA">
      <w:pPr>
        <w:spacing w:after="0"/>
        <w:jc w:val="both"/>
        <w:rPr>
          <w:rFonts w:ascii="Work Sans" w:hAnsi="Work Sans"/>
          <w:sz w:val="16"/>
          <w:szCs w:val="16"/>
        </w:rPr>
      </w:pPr>
      <w:proofErr w:type="spellStart"/>
      <w:r w:rsidRPr="003322FA">
        <w:rPr>
          <w:rFonts w:ascii="Work Sans" w:hAnsi="Work Sans"/>
          <w:sz w:val="16"/>
          <w:szCs w:val="16"/>
        </w:rPr>
        <w:t>copias_r</w:t>
      </w:r>
      <w:proofErr w:type="spellEnd"/>
      <w:r w:rsidRPr="003322FA">
        <w:rPr>
          <w:rFonts w:ascii="Work Sans" w:hAnsi="Work Sans"/>
          <w:sz w:val="16"/>
          <w:szCs w:val="16"/>
        </w:rPr>
        <w:t xml:space="preserve"> </w:t>
      </w:r>
    </w:p>
    <w:p w14:paraId="551E62EE" w14:textId="68C5967B" w:rsidR="00C04679" w:rsidRPr="003322FA" w:rsidRDefault="00AF21D9" w:rsidP="003322FA">
      <w:pPr>
        <w:jc w:val="both"/>
        <w:rPr>
          <w:rFonts w:ascii="Work Sans" w:hAnsi="Work Sans"/>
        </w:rPr>
      </w:pPr>
      <w:r w:rsidRPr="003322FA">
        <w:rPr>
          <w:rFonts w:ascii="Work Sans" w:hAnsi="Work Sans"/>
          <w:sz w:val="16"/>
          <w:szCs w:val="16"/>
        </w:rPr>
        <w:t xml:space="preserve">Elaboró: </w:t>
      </w:r>
      <w:proofErr w:type="spellStart"/>
      <w:r w:rsidRPr="003322FA">
        <w:rPr>
          <w:rFonts w:ascii="Work Sans" w:hAnsi="Work Sans"/>
          <w:sz w:val="16"/>
          <w:szCs w:val="16"/>
        </w:rPr>
        <w:t>res_proyecto</w:t>
      </w:r>
      <w:proofErr w:type="spellEnd"/>
      <w:r w:rsidRPr="003322FA">
        <w:rPr>
          <w:rFonts w:ascii="Work Sans" w:hAnsi="Work Sans"/>
          <w:sz w:val="16"/>
          <w:szCs w:val="16"/>
          <w:lang w:val="es-ES"/>
        </w:rPr>
        <w:br/>
      </w:r>
      <w:r w:rsidRPr="003322FA">
        <w:rPr>
          <w:rFonts w:ascii="Work Sans" w:hAnsi="Work Sans"/>
          <w:sz w:val="16"/>
          <w:szCs w:val="16"/>
        </w:rPr>
        <w:t xml:space="preserve">Reviso: </w:t>
      </w:r>
      <w:proofErr w:type="spellStart"/>
      <w:r w:rsidRPr="003322FA">
        <w:rPr>
          <w:rFonts w:ascii="Work Sans" w:hAnsi="Work Sans"/>
          <w:sz w:val="16"/>
          <w:szCs w:val="16"/>
        </w:rPr>
        <w:t>res_reviso</w:t>
      </w:r>
      <w:proofErr w:type="spellEnd"/>
      <w:r w:rsidRPr="003322FA">
        <w:rPr>
          <w:rFonts w:ascii="Work Sans" w:hAnsi="Work Sans"/>
          <w:sz w:val="16"/>
          <w:szCs w:val="16"/>
        </w:rPr>
        <w:br/>
        <w:t xml:space="preserve">Aprobó: </w:t>
      </w:r>
      <w:proofErr w:type="spellStart"/>
      <w:r w:rsidRPr="003322FA">
        <w:rPr>
          <w:rFonts w:ascii="Work Sans" w:hAnsi="Work Sans"/>
          <w:sz w:val="16"/>
          <w:szCs w:val="16"/>
        </w:rPr>
        <w:t>res_aprobacion</w:t>
      </w:r>
      <w:proofErr w:type="spellEnd"/>
    </w:p>
    <w:sectPr w:rsidR="00C04679" w:rsidRPr="003322FA" w:rsidSect="0023586F">
      <w:headerReference w:type="default" r:id="rId7"/>
      <w:footerReference w:type="default" r:id="rId8"/>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7F09D" w14:textId="77777777" w:rsidR="009473F0" w:rsidRDefault="009473F0">
      <w:pPr>
        <w:spacing w:after="0" w:line="240" w:lineRule="auto"/>
      </w:pPr>
      <w:r>
        <w:separator/>
      </w:r>
    </w:p>
  </w:endnote>
  <w:endnote w:type="continuationSeparator" w:id="0">
    <w:p w14:paraId="4054BD56" w14:textId="77777777" w:rsidR="009473F0" w:rsidRDefault="00947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Work Sans">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4FB63" w14:textId="77777777" w:rsidR="009473F0" w:rsidRDefault="009473F0">
      <w:pPr>
        <w:spacing w:after="0" w:line="240" w:lineRule="auto"/>
      </w:pPr>
      <w:r>
        <w:separator/>
      </w:r>
    </w:p>
  </w:footnote>
  <w:footnote w:type="continuationSeparator" w:id="0">
    <w:p w14:paraId="795163F4" w14:textId="77777777" w:rsidR="009473F0" w:rsidRDefault="009473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16948"/>
    <w:multiLevelType w:val="multilevel"/>
    <w:tmpl w:val="8C80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145448"/>
    <w:multiLevelType w:val="hybridMultilevel"/>
    <w:tmpl w:val="05DC0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D213372"/>
    <w:multiLevelType w:val="hybridMultilevel"/>
    <w:tmpl w:val="A0FA4784"/>
    <w:lvl w:ilvl="0" w:tplc="D098DBBE">
      <w:start w:val="1"/>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52263250">
    <w:abstractNumId w:val="0"/>
  </w:num>
  <w:num w:numId="2" w16cid:durableId="101731189">
    <w:abstractNumId w:val="1"/>
  </w:num>
  <w:num w:numId="3" w16cid:durableId="992369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E59F0"/>
    <w:rsid w:val="001358EB"/>
    <w:rsid w:val="00183F06"/>
    <w:rsid w:val="00202A17"/>
    <w:rsid w:val="0023586F"/>
    <w:rsid w:val="0026480C"/>
    <w:rsid w:val="002757D9"/>
    <w:rsid w:val="002B6778"/>
    <w:rsid w:val="002E601B"/>
    <w:rsid w:val="003322FA"/>
    <w:rsid w:val="003C6CA7"/>
    <w:rsid w:val="003D64EF"/>
    <w:rsid w:val="003E51C7"/>
    <w:rsid w:val="00454A6E"/>
    <w:rsid w:val="00485628"/>
    <w:rsid w:val="004E340F"/>
    <w:rsid w:val="005061BF"/>
    <w:rsid w:val="005A358A"/>
    <w:rsid w:val="005A7424"/>
    <w:rsid w:val="00713CBD"/>
    <w:rsid w:val="007560EA"/>
    <w:rsid w:val="008017F8"/>
    <w:rsid w:val="00814311"/>
    <w:rsid w:val="00865C91"/>
    <w:rsid w:val="008A6CD8"/>
    <w:rsid w:val="009473F0"/>
    <w:rsid w:val="009B5409"/>
    <w:rsid w:val="009E5228"/>
    <w:rsid w:val="00A32F93"/>
    <w:rsid w:val="00A82C6D"/>
    <w:rsid w:val="00AA1D97"/>
    <w:rsid w:val="00AC4E5E"/>
    <w:rsid w:val="00AD43C1"/>
    <w:rsid w:val="00AE1879"/>
    <w:rsid w:val="00AF21D9"/>
    <w:rsid w:val="00B12ABD"/>
    <w:rsid w:val="00BC7B64"/>
    <w:rsid w:val="00C04679"/>
    <w:rsid w:val="00C902CD"/>
    <w:rsid w:val="00D33464"/>
    <w:rsid w:val="00D95FE5"/>
    <w:rsid w:val="00E113E2"/>
    <w:rsid w:val="00F22498"/>
    <w:rsid w:val="00F758D2"/>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2">
    <w:name w:val="heading 2"/>
    <w:basedOn w:val="Normal"/>
    <w:link w:val="Ttulo2Car"/>
    <w:uiPriority w:val="9"/>
    <w:qFormat/>
    <w:rsid w:val="003322FA"/>
    <w:pPr>
      <w:suppressAutoHyphens w:val="0"/>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paragraph" w:styleId="Ttulo3">
    <w:name w:val="heading 3"/>
    <w:basedOn w:val="Normal"/>
    <w:link w:val="Ttulo3Car"/>
    <w:uiPriority w:val="9"/>
    <w:qFormat/>
    <w:rsid w:val="003322FA"/>
    <w:pPr>
      <w:suppressAutoHyphens w:val="0"/>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character" w:customStyle="1" w:styleId="Ttulo2Car">
    <w:name w:val="Título 2 Car"/>
    <w:basedOn w:val="Fuentedeprrafopredeter"/>
    <w:link w:val="Ttulo2"/>
    <w:uiPriority w:val="9"/>
    <w:rsid w:val="003322FA"/>
    <w:rPr>
      <w:rFonts w:ascii="Times New Roman" w:eastAsia="Times New Roman" w:hAnsi="Times New Roman" w:cs="Times New Roman"/>
      <w:b/>
      <w:bCs/>
      <w:sz w:val="36"/>
      <w:szCs w:val="36"/>
      <w:lang w:eastAsia="es-MX"/>
    </w:rPr>
  </w:style>
  <w:style w:type="character" w:customStyle="1" w:styleId="Ttulo3Car">
    <w:name w:val="Título 3 Car"/>
    <w:basedOn w:val="Fuentedeprrafopredeter"/>
    <w:link w:val="Ttulo3"/>
    <w:uiPriority w:val="9"/>
    <w:rsid w:val="003322FA"/>
    <w:rPr>
      <w:rFonts w:ascii="Times New Roman" w:eastAsia="Times New Roman" w:hAnsi="Times New Roman" w:cs="Times New Roman"/>
      <w:b/>
      <w:bCs/>
      <w:sz w:val="27"/>
      <w:szCs w:val="27"/>
      <w:lang w:eastAsia="es-MX"/>
    </w:rPr>
  </w:style>
  <w:style w:type="paragraph" w:styleId="NormalWeb">
    <w:name w:val="Normal (Web)"/>
    <w:basedOn w:val="Normal"/>
    <w:uiPriority w:val="99"/>
    <w:semiHidden/>
    <w:unhideWhenUsed/>
    <w:rsid w:val="003322FA"/>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3322FA"/>
    <w:rPr>
      <w:b/>
      <w:bCs/>
    </w:rPr>
  </w:style>
  <w:style w:type="character" w:customStyle="1" w:styleId="apple-converted-space">
    <w:name w:val="apple-converted-space"/>
    <w:basedOn w:val="Fuentedeprrafopredeter"/>
    <w:rsid w:val="003322FA"/>
  </w:style>
  <w:style w:type="paragraph" w:customStyle="1" w:styleId="p1">
    <w:name w:val="p1"/>
    <w:basedOn w:val="Normal"/>
    <w:rsid w:val="003322FA"/>
    <w:pPr>
      <w:suppressAutoHyphens w:val="0"/>
      <w:spacing w:after="0" w:line="240" w:lineRule="auto"/>
    </w:pPr>
    <w:rPr>
      <w:rFonts w:ascii="Helvetica" w:eastAsia="Times New Roman" w:hAnsi="Helvetica" w:cs="Times New Roman"/>
      <w:color w:val="000000"/>
      <w:sz w:val="14"/>
      <w:szCs w:val="14"/>
      <w:lang w:eastAsia="es-MX"/>
    </w:rPr>
  </w:style>
  <w:style w:type="paragraph" w:styleId="Prrafodelista">
    <w:name w:val="List Paragraph"/>
    <w:basedOn w:val="Normal"/>
    <w:uiPriority w:val="34"/>
    <w:qFormat/>
    <w:rsid w:val="003322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487407">
      <w:bodyDiv w:val="1"/>
      <w:marLeft w:val="0"/>
      <w:marRight w:val="0"/>
      <w:marTop w:val="0"/>
      <w:marBottom w:val="0"/>
      <w:divBdr>
        <w:top w:val="none" w:sz="0" w:space="0" w:color="auto"/>
        <w:left w:val="none" w:sz="0" w:space="0" w:color="auto"/>
        <w:bottom w:val="none" w:sz="0" w:space="0" w:color="auto"/>
        <w:right w:val="none" w:sz="0" w:space="0" w:color="auto"/>
      </w:divBdr>
    </w:div>
    <w:div w:id="1735884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1001</Words>
  <Characters>5510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LAURA VALENTINA SANIN MORALES</cp:lastModifiedBy>
  <cp:revision>3</cp:revision>
  <dcterms:created xsi:type="dcterms:W3CDTF">2025-12-12T04:34:00Z</dcterms:created>
  <dcterms:modified xsi:type="dcterms:W3CDTF">2025-12-15T18:21:00Z</dcterms:modified>
  <dc:language>es-CO</dc:language>
</cp:coreProperties>
</file>